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nos" w:hAnsi="Tinos" w:cs="Tinos"/>
          <w:b/>
          <w:sz w:val="28"/>
          <w:szCs w:val="28"/>
        </w:rPr>
      </w:pPr>
      <w:r>
        <w:rPr>
          <w:rFonts w:hint="default" w:ascii="Tinos" w:hAnsi="Tinos" w:cs="Tinos"/>
          <w:b/>
          <w:sz w:val="28"/>
          <w:szCs w:val="28"/>
        </w:rPr>
        <w:t xml:space="preserve">ГЕРИАТРИИ, МЕДИКО-СОЦИАЛЬНОЙ ЭКСПЕРТИЗЫ С КУРСОМ ОБЩЕЙ ВРАЧЕБНОЙ ПРАКТИКИ </w:t>
      </w:r>
    </w:p>
    <w:tbl>
      <w:tblPr>
        <w:tblStyle w:val="6"/>
        <w:tblW w:w="1513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188"/>
        <w:gridCol w:w="81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nos" w:hAnsi="Tinos" w:cs="Tinos"/>
                <w:b/>
                <w:sz w:val="24"/>
                <w:szCs w:val="24"/>
              </w:rPr>
            </w:pPr>
            <w:r>
              <w:rPr>
                <w:rFonts w:hint="default" w:ascii="Tinos" w:hAnsi="Tinos" w:cs="Tinos"/>
                <w:b/>
                <w:sz w:val="24"/>
                <w:szCs w:val="24"/>
              </w:rPr>
              <w:t xml:space="preserve">№ </w:t>
            </w:r>
          </w:p>
          <w:p>
            <w:pPr>
              <w:spacing w:after="0" w:line="240" w:lineRule="auto"/>
              <w:jc w:val="center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b/>
                <w:sz w:val="24"/>
                <w:szCs w:val="24"/>
              </w:rPr>
              <w:t>п/п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b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b/>
                <w:sz w:val="24"/>
                <w:szCs w:val="24"/>
              </w:rPr>
              <w:t>Кол-во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b/>
                <w:sz w:val="24"/>
                <w:szCs w:val="24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80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1.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default" w:ascii="Tinos" w:hAnsi="Tinos" w:cs="Tinos"/>
                <w:sz w:val="24"/>
                <w:szCs w:val="24"/>
                <w:lang w:eastAsia="en-US"/>
              </w:rPr>
            </w:pP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t xml:space="preserve">Диагностика и лечение артериальной гипертонии (в схемах и таблицах) : метод. рек. / сост.: С. А. Солгалова, С. Г. Кечеджиева, А. Я. Сохач. – 2-е изд., перераб. – Ставрополь : Изд-во СтГМУ, 2016. – 36 с. – 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instrText xml:space="preserve"> HYPERLINK "http://opac.stgmu.ru/opacg/fulltext/%D0%B0%D1%80%D1%82%D0%B5%D1%80%D0%B8%D0%B0%D0%BB%D1%8C%D0%BD%D0%B0%D1%8F%20%D0%B3%D0%B8%D0%BF%D0%B5%D1%80%D1%82%D0%BE%D0%BD%D0%B8%D1%8F.pdf" </w:instrTex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  <w:lang w:eastAsia="en-US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2.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 xml:space="preserve">Комплексная гериатрическая оценка : учеб. пособие / С. А. Солгалова, А. Я. Сохач, С. Г. Кечеджиева, В. А, Васильева. – Ставрополь : Изд-во СтГМУ, 2020. – 104 с. – 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instrText xml:space="preserve"> HYPERLINK "http://opac.stgmu.ru/opacg/fulltext/%D0%9A%D0%BE%D0%BC%D0%BF%D0%BB%20%D0%B3%D0%B5%D1%80%D0%B8%D0%B0%D1%82%D1%80%D0%B8%D1%87%20%D0%BE%D1%86%D0%B5%D0%BD%D0%BA%D0%B0%20%D0%A1%D0%BE%D0%BB%D0%B3%D0%B0%D0%BB%D0%BE%D0%B2%D0%B0,%20%D0%A1%D0%BE%D1%85%D0%B0%D1%87%20" </w:instrTex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3.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default" w:ascii="Tinos" w:hAnsi="Tinos" w:cs="Tinos"/>
                <w:sz w:val="24"/>
                <w:szCs w:val="24"/>
                <w:lang w:eastAsia="en-US"/>
              </w:rPr>
            </w:pP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t xml:space="preserve">Общая врачебная практика (семейная медицина) : учеб.-метод. пособие / 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instrText xml:space="preserve"> HYPERLINK "http://opac.stgmu.ru/opacg/fulltext/%D0%9E%D0%B1%D1%89%D0%B0%D1%8F%20%D0%B2%D1%80%D0%B0%D1%87%D0%B5%D0%B1%D0%BD%D0%B0%D1%8F%20%D0%BF%D1%80%D0%B0%D0%BA%D1%82%20%D0%92%20%D0%9F%D0%95%D0%A7%D0%90%D0%A2%D0%AC%2017-06-14.pdf" </w:instrTex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  <w:lang w:eastAsia="en-US"/>
              </w:rPr>
              <w:t>сост.: В. Н. Муравьева, В. О. Францева, А. П. Байда [и др.]. – Ставрополь : Изд-во СтГМУ, 2014. – 36 с. – Ссылка на книгу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end"/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8.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default" w:ascii="Tinos" w:hAnsi="Tinos" w:cs="Tinos"/>
                <w:sz w:val="24"/>
                <w:szCs w:val="24"/>
                <w:lang w:eastAsia="en-US"/>
              </w:rPr>
            </w:pPr>
            <w:r>
              <w:rPr>
                <w:rFonts w:hint="default" w:ascii="Tinos" w:hAnsi="Tinos" w:cs="Tinos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Солгалова, С. А. Диагностика в гериатрии : учеб. пособие / С. А. Солгалова, С. Г.Кечеджиева, В. А. Васильева. – Ставрополь : Изд–во СтГМУ, 2022. –108 с. 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instrText xml:space="preserve"> HYPERLINK "http://opac.stgmu.ru/opacg/fulltext/%D0%94%D0%B8%D0%B0%D0%B3%D0%BD%D0%BE%D1%81%D1%82%D0%B8%D0%BA%D0%B0%20%D0%B3%D0%B5%D1%80%D0%B8%D0%B0%D1%82%D1%80%D0%B8%D0%B8%20%D0%B2%20%D0%BF%D0%B5%D1%87%D0%B0%D1%82%D1%8C.pdf" </w:instrTex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  <w:lang w:eastAsia="en-US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4.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 xml:space="preserve">Солгалова, С. А. Хроническая болезнь почек: алгоритмы диагностики и терапии : учеб.-метод. пособие / С. А. Солгалова, Т. В. Глухова. – Ставрополь : Изд-во СтГМУ, 2020. – 52 с. – 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instrText xml:space="preserve"> HYPERLINK "http://opac.stgmu.ru/opacg/fulltext/%D0%A5%D1%80%D0%BE%D0%BD.%20%D0%B1%D0%BE%D0%BB%D0%B5%D0%B7%D0%BD%D1%8C%20%D0%BF%D0%BE%D1%87%D0%B5%D0%BA.pdf" </w:instrTex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5.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default" w:ascii="Tinos" w:hAnsi="Tinos" w:cs="Tinos"/>
                <w:sz w:val="24"/>
                <w:szCs w:val="24"/>
                <w:lang w:eastAsia="en-US"/>
              </w:rPr>
            </w:pP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t>Тестовые задания для специалистов в области сестринского дела (медицинских сестер участковых) : учеб. пособие / сост.: А.П. Байда, А. Я. Сохач, Т. В. Клименко [и др.]. – Ставрополь : Изд-во СтГМУ, 2016. – 168 с. –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instrText xml:space="preserve"> HYPERLINK "http://opac.stgmu.ru/opacg/fulltext/%D0%BC%D0%B5%D0%B4%D1%81%D0%B5%D1%81%D1%82%D1%80%D1%8B%20(2).pdf" </w:instrTex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  <w:lang w:eastAsia="en-US"/>
              </w:rPr>
              <w:t xml:space="preserve"> Ссылка на книгу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6.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default" w:ascii="Tinos" w:hAnsi="Tinos" w:cs="Tinos"/>
                <w:sz w:val="24"/>
                <w:szCs w:val="24"/>
                <w:lang w:eastAsia="en-US"/>
              </w:rPr>
            </w:pP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t xml:space="preserve">Хронический запор в практике врача-гериатра : учеб. пособие / С. А. Солгалова, А. Я. Сохач, С. Г. Кечеджиева, В. А. Васильева. – Ставрополь : Изд – во СтГМУ, 2018. – 72 с. – 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begin"/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instrText xml:space="preserve"> HYPERLINK "http://opac.stgmu.ru/opacg/fulltext/%D0%A5%D1%80%D0%BE%D0%BD.%20%D0%B1%D0%BE%D0%BB%D0%B5%D0%B7%D0%BD%D1%8C%20%D0%BF%D0%BE%D1%87%D0%B5%D0%BA.pdf" </w:instrTex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  <w:lang w:eastAsia="en-US"/>
              </w:rPr>
              <w:t>Ссылка на книгу</w:t>
            </w:r>
            <w:r>
              <w:rPr>
                <w:rFonts w:hint="default" w:ascii="Tinos" w:hAnsi="Tinos" w:cs="Tinos"/>
                <w:color w:val="auto"/>
                <w:sz w:val="24"/>
                <w:szCs w:val="24"/>
                <w:u w:val="none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after="0" w:line="240" w:lineRule="auto"/>
              <w:ind w:left="0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7.</w:t>
            </w:r>
          </w:p>
        </w:tc>
        <w:tc>
          <w:tcPr>
            <w:tcW w:w="1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default" w:ascii="Tinos" w:hAnsi="Tinos" w:cs="Tinos"/>
                <w:sz w:val="24"/>
                <w:szCs w:val="24"/>
                <w:lang w:eastAsia="en-US"/>
              </w:rPr>
            </w:pP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t>Экспертиза временной нетрудоспособности : учеб. пособие / А. Я. Сохач, В. А. Васильева, С. Г. Кечеджиева [и др.]. – Ставрополь : Изд - во СтГМУ, 2018. – 112 с. –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begin"/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instrText xml:space="preserve"> HYPERLINK "http://opac.stgmu.ru/opacg/fulltext/%D0%AD%D0%BA%D1%81%D0%BF%D0%B5%D1%80%D1%82%D0%B8%D0%B7%D0%B0%20%D0%B2%D1%80%D0%B5%D0%BC%20%D0%BD%D0%B5%D1%82%D1%80%D1%83%D0%B4%D0%BE%D1%81%D0%BF%20%D0%A1%D0%BE%D1%85%D0%B0%D1%87+%D0%A1%D0%BE%D0%BB%D0%B3%D0%B0%D0%BB%D0%BE" </w:instrTex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separate"/>
            </w:r>
            <w:r>
              <w:rPr>
                <w:rStyle w:val="4"/>
                <w:rFonts w:hint="default" w:ascii="Tinos" w:hAnsi="Tinos" w:cs="Tinos"/>
                <w:sz w:val="24"/>
                <w:szCs w:val="24"/>
                <w:lang w:eastAsia="en-US"/>
              </w:rPr>
              <w:t xml:space="preserve"> Ссылка на книгу</w:t>
            </w:r>
            <w:r>
              <w:rPr>
                <w:rFonts w:hint="default" w:ascii="Tinos" w:hAnsi="Tinos" w:cs="Tinos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  <w:r>
              <w:rPr>
                <w:rFonts w:hint="default" w:ascii="Tinos" w:hAnsi="Tinos" w:cs="Tinos"/>
                <w:sz w:val="24"/>
                <w:szCs w:val="24"/>
              </w:rPr>
              <w:t>ЭР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nos" w:hAnsi="Tinos" w:cs="Tinos"/>
                <w:sz w:val="24"/>
                <w:szCs w:val="24"/>
              </w:rPr>
            </w:pPr>
          </w:p>
        </w:tc>
      </w:tr>
    </w:tbl>
    <w:p>
      <w:pPr>
        <w:spacing w:line="240" w:lineRule="auto"/>
        <w:jc w:val="both"/>
        <w:rPr>
          <w:rFonts w:hint="default" w:ascii="Tinos" w:hAnsi="Tinos" w:cs="Tinos"/>
          <w:sz w:val="24"/>
          <w:szCs w:val="24"/>
        </w:rPr>
      </w:pPr>
      <w:r>
        <w:rPr>
          <w:rFonts w:hint="default" w:ascii="Tinos" w:hAnsi="Tinos" w:cs="Tinos"/>
          <w:sz w:val="24"/>
          <w:szCs w:val="24"/>
        </w:rPr>
        <w:t xml:space="preserve"> </w:t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nos">
    <w:panose1 w:val="02020603050405020304"/>
    <w:charset w:val="00"/>
    <w:family w:val="auto"/>
    <w:pitch w:val="default"/>
    <w:sig w:usb0="E0000AFF" w:usb1="500078FF" w:usb2="00000029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22"/>
    <w:rsid w:val="00026BAF"/>
    <w:rsid w:val="000648EF"/>
    <w:rsid w:val="000A1922"/>
    <w:rsid w:val="00262528"/>
    <w:rsid w:val="002C2856"/>
    <w:rsid w:val="00466B50"/>
    <w:rsid w:val="00540E2F"/>
    <w:rsid w:val="006A504C"/>
    <w:rsid w:val="0095528B"/>
    <w:rsid w:val="009D0736"/>
    <w:rsid w:val="00B1786E"/>
    <w:rsid w:val="00C20A06"/>
    <w:rsid w:val="00D377B2"/>
    <w:rsid w:val="00F02F69"/>
    <w:rsid w:val="00FA63E6"/>
    <w:rsid w:val="FFB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</Words>
  <Characters>3184</Characters>
  <Lines>26</Lines>
  <Paragraphs>7</Paragraphs>
  <TotalTime>45</TotalTime>
  <ScaleCrop>false</ScaleCrop>
  <LinksUpToDate>false</LinksUpToDate>
  <CharactersWithSpaces>3735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2021-04-27T12:41:00Z</dcterms:created>
  <dc:creator>Ерошенко Валентина Ильинична</dc:creator>
  <cp:lastModifiedBy>nv.pomazkova</cp:lastModifiedBy>
  <dcterms:modified xsi:type="dcterms:W3CDTF">2023-06-06T11:55:58Z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