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570" w:leader="none"/>
        </w:tabs>
        <w:spacing w:lineRule="exact" w:line="240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Федеральное государственное бюджетное образовательное учреждение  высшего образования «Ставропольский государственный медицинский университет» </w:t>
      </w:r>
    </w:p>
    <w:p>
      <w:pPr>
        <w:pStyle w:val="Normal"/>
        <w:tabs>
          <w:tab w:val="clear" w:pos="708"/>
          <w:tab w:val="left" w:pos="570" w:leader="none"/>
        </w:tabs>
        <w:spacing w:lineRule="exact" w:line="240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Министерства здравоохранения Российской Федерации</w:t>
      </w:r>
    </w:p>
    <w:p>
      <w:pPr>
        <w:pStyle w:val="Normal"/>
        <w:tabs>
          <w:tab w:val="clear" w:pos="708"/>
          <w:tab w:val="left" w:pos="570" w:leader="none"/>
        </w:tabs>
        <w:spacing w:lineRule="exact" w:line="240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(ФГБОУ ВО СтГМУ МИНЗДРАВА РОССИИ)</w:t>
      </w:r>
    </w:p>
    <w:p>
      <w:pPr>
        <w:pStyle w:val="Normal"/>
        <w:tabs>
          <w:tab w:val="clear" w:pos="708"/>
          <w:tab w:val="left" w:pos="570" w:leader="none"/>
        </w:tabs>
        <w:spacing w:lineRule="exact" w:line="240"/>
        <w:ind w:right="-1" w:hanging="0"/>
        <w:jc w:val="center"/>
        <w:rPr>
          <w:rFonts w:ascii="PT Astra Serif" w:hAnsi="PT Astra Serif" w:cs="Times New Roman"/>
          <w:b/>
          <w:b/>
          <w:bCs/>
          <w:i/>
          <w:i/>
          <w:spacing w:val="20"/>
          <w:sz w:val="28"/>
          <w:szCs w:val="28"/>
        </w:rPr>
      </w:pPr>
      <w:r>
        <w:rPr>
          <w:rFonts w:cs="Times New Roman" w:ascii="PT Astra Serif" w:hAnsi="PT Astra Serif"/>
          <w:b/>
          <w:bCs/>
          <w:i/>
          <w:spacing w:val="20"/>
          <w:sz w:val="28"/>
          <w:szCs w:val="28"/>
        </w:rPr>
      </w:r>
    </w:p>
    <w:p>
      <w:pPr>
        <w:pStyle w:val="Normal"/>
        <w:tabs>
          <w:tab w:val="clear" w:pos="708"/>
          <w:tab w:val="left" w:pos="570" w:leader="none"/>
        </w:tabs>
        <w:spacing w:lineRule="exact" w:line="240"/>
        <w:ind w:right="-1" w:hanging="0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/>
          <w:bCs/>
          <w:i/>
          <w:spacing w:val="20"/>
          <w:sz w:val="28"/>
          <w:szCs w:val="28"/>
        </w:rPr>
        <w:t>Кафедра скорой и неотложной медицинской помощи с курсом ДПО</w:t>
      </w:r>
    </w:p>
    <w:p>
      <w:pPr>
        <w:pStyle w:val="Style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______________________________________________________ 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Перечень вопросов для ликвидации академической задолженности в период второй повторной промежуточной аттестации в форме «зачет»</w:t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1.Нормативное регулирование оказания скорой медицинской помощи:</w:t>
      </w:r>
    </w:p>
    <w:p>
      <w:pPr>
        <w:pStyle w:val="Normal"/>
        <w:ind w:left="27" w:firstLine="333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-Порядок оказания скорой, в том числе скорой специализированной, медицинской помощи. </w:t>
      </w:r>
    </w:p>
    <w:p>
      <w:pPr>
        <w:pStyle w:val="Normal"/>
        <w:ind w:left="27" w:firstLine="333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-Стандарты скорой, в том числе скорой специализированной, медицинской помощи. </w:t>
      </w:r>
    </w:p>
    <w:p>
      <w:pPr>
        <w:pStyle w:val="Normal"/>
        <w:ind w:left="27" w:firstLine="333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- Клинические рекомендации (протоколы лечения) по вопросам оказания скорой, в том числе скорой специализированной, медицинской помощи. </w:t>
      </w:r>
    </w:p>
    <w:p>
      <w:pPr>
        <w:pStyle w:val="Normal"/>
        <w:ind w:left="27" w:firstLine="333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- Методы осмотра и обследования пациентов с заболеваниями и (или) состояниями, требующими оказания скорой, в том числе скорой специализированной, медицинской помощи в амбулаторных и стационарных условиях, в стационарном отделении скорой медицинской помощи с учетом возрастных анатомо-функциональных особенностей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помощи. 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2.Особенности оказания скорой медицинской помощи вне медицинской организации. </w:t>
      </w:r>
    </w:p>
    <w:p>
      <w:pPr>
        <w:pStyle w:val="Normal"/>
        <w:ind w:left="27" w:firstLine="333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- Специфика оказания квалифицированной медицинской помощи вне медицинской организации. </w:t>
      </w:r>
    </w:p>
    <w:p>
      <w:pPr>
        <w:pStyle w:val="Normal"/>
        <w:ind w:left="27" w:firstLine="333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- Формы оказания скорой медицинской помощи. Виды бригад скорой медицинской помощи. </w:t>
      </w:r>
    </w:p>
    <w:p>
      <w:pPr>
        <w:pStyle w:val="Normal"/>
        <w:ind w:left="27" w:firstLine="333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Оперативный отдел скорой медицинской помощи.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3.Медицинская эвакуация и её виды.  </w:t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4.Цельная картина патологии: тактика и стратегия при оказании медицинской помощи в экстренной форме. Универсальность синдромов неотложных состояний. </w:t>
      </w:r>
    </w:p>
    <w:p>
      <w:pPr>
        <w:pStyle w:val="Normal"/>
        <w:spacing w:lineRule="auto" w:line="240" w:before="0" w:after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5.Сбор анамнеза у пациента, находящегося в неотложном состоянии. Осмотр пациента в неотложном состоянии. 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6.Способы доставки (введения) медицинских препаратов при оказании медицинской помощи в экстренной форме пациентам вне медицинской организации.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7.Диагностика и принципы лечения острой дыхательной недостаточности вне медицинского учреждения. Диагностика синдрома острой дыхательной недостаточности при патологическом процессе, в том числе при травмах, кровотечении, волемических расстройствах, интоксикации, гипертермии и др.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8.Порядок оказания медицинской помощи в экстренной форме при синдроме острой дыхательной недостаточности у пациентов с бронхопульмональной и экстрабронхо-пульмональной патологией.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9.Медицинские изделия и оборудование, применяемое для вспомогательной и искусственной вентиляции легких.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10.Диагностика и принципы лечения синдрома низкого минутного объема кровообращения вне медицинского учреждения. Синдром низкого минутного объема сердца/кровообращения при кардиальной и экстракардиальной патологии.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11.Недостаточность кровообращения, обусловленная волемическими расстройствами, интоксикацией, болью, кардиальной патологией и пр.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12.Причины, клиника и лечение синдрома низкого минутного объема сердца: при ишемической болезни сердца (острый коронарный синдром, нарушения ритма, проводимости). Показания для электроимпульсной терапии.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13.Стратегия оказания медицинской помощи в экстренной форме при синдроме низкого минутного объема сердца вне медицинского учреждения.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14.Диагностика и принципы лечения нарушений сознания вне медицинского учреждения. Обморок, определение понятия, генез, клиника, лечение, профилактика осложнений. 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15.Синдром нарушенного сознания. 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16.Синдром измененного сознания. 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17.Кома. Разновидности ком. Эндо- и экзотоксикоз: комы при сахарном диабете и остром отравлении. Стратегия оказания медицинской помощи в экстренной форме при коме.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18.Острый живот. Диагностика и тактика лечения.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19.Осложненные травмы грудной клетки. 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20.ЧМТ. 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21.Особенности оказания помощи при огнестрельных и минно-взрывных ранениях.</w:t>
      </w:r>
    </w:p>
    <w:p>
      <w:pPr>
        <w:pStyle w:val="Normal"/>
        <w:spacing w:lineRule="auto" w:line="240" w:before="0" w:after="0"/>
        <w:ind w:left="60" w:hanging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22.Диагностика и принципы лечения шока вне медицинской организации. </w:t>
      </w:r>
    </w:p>
    <w:p>
      <w:pPr>
        <w:pStyle w:val="Normal"/>
        <w:spacing w:lineRule="auto" w:line="240" w:before="0" w:after="0"/>
        <w:ind w:left="60" w:hanging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left="60" w:hanging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23.Стратегия оказания медицинской помощи в экстренной форме при шоке вне медицинской организации.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>Остановка кровотечения.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24.Диагностика и лечение повреждений опорно-двигательного аппарата мне медицинской организации.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25.Стратегия оказания медицинской помощи в экстренной форме при повреждении опорно-двигательного аппарата вне медицинской организации.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26.Место скорой помощи в мероприятиях по ликвидации последствий ЧС.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27.Медицинские последствия ЧС. Триаж (принципы медицинской сортировки).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28.Оказание помощи в очаге массового поражения людей (теракты, ДТП).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29.Организация работы при медицинской сортировочной площадке.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30.Термические поражения. Первая помощь при перегревании и переохлаждении. Первая помощь при ожогах и отморожениях.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31.Первая помощь при утоплении.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32.Способы защиты от поражения электричеством. Первая помощь при поражении электрическим током.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33.Первая помощь при укусе/ужалении ядовитых животных.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34.Первая помощь при химической травме.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35.Тяжелые аллергические реакции и анафилактический шок. Современные алгоритмы лечения острой анафилаксии. Синдром Квинке. Анафилактический шок.</w:t>
      </w:r>
    </w:p>
    <w:p>
      <w:pPr>
        <w:pStyle w:val="Normal"/>
        <w:spacing w:before="0" w:after="20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1e9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3"/>
    <w:uiPriority w:val="99"/>
    <w:qFormat/>
    <w:rsid w:val="00251e96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Style20">
    <w:name w:val="Title"/>
    <w:basedOn w:val="Normal"/>
    <w:link w:val="a4"/>
    <w:uiPriority w:val="99"/>
    <w:qFormat/>
    <w:rsid w:val="00251e9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c672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LibreOffice/6.4.7.2$Linux_X86_64 LibreOffice_project/40$Build-2</Application>
  <Pages>4</Pages>
  <Words>557</Words>
  <Characters>4497</Characters>
  <CharactersWithSpaces>5038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2023-02-05T16:14:00Z</dcterms:created>
  <dc:creator>crossover</dc:creator>
  <dc:description/>
  <dc:language>ru-RU</dc:language>
  <cp:lastModifiedBy/>
  <dcterms:modified xsi:type="dcterms:W3CDTF">2023-09-13T13:21:18Z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