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PT Astra Serif" w:hAnsi="PT Astra Serif" w:cs="PT Astra Serif"/>
          <w:b/>
          <w:b/>
          <w:bCs/>
          <w:sz w:val="28"/>
          <w:szCs w:val="28"/>
          <w:lang w:val="ru-RU"/>
        </w:rPr>
      </w:pPr>
      <w:r>
        <w:rPr>
          <w:rFonts w:cs="PT Astra Serif" w:ascii="PT Astra Serif" w:hAnsi="PT Astra Serif"/>
          <w:b/>
          <w:bCs/>
          <w:sz w:val="28"/>
          <w:szCs w:val="28"/>
          <w:lang w:val="ru-RU"/>
        </w:rPr>
        <w:t>Темы практических занятий:</w:t>
      </w:r>
    </w:p>
    <w:p>
      <w:pPr>
        <w:pStyle w:val="Normal"/>
        <w:jc w:val="both"/>
        <w:rPr>
          <w:rFonts w:ascii="PT Astra Serif" w:hAnsi="PT Astra Serif" w:cs="PT Astra Serif"/>
          <w:bCs/>
          <w:sz w:val="24"/>
          <w:szCs w:val="24"/>
        </w:rPr>
      </w:pPr>
      <w:r>
        <w:rPr>
          <w:rFonts w:cs="PT Astra Serif" w:ascii="PT Astra Serif" w:hAnsi="PT Astra Serif"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rFonts w:cs="PT Astra Serif" w:ascii="PT Astra Serif" w:hAnsi="PT Astra Serif"/>
          <w:b/>
          <w:bCs/>
          <w:sz w:val="24"/>
          <w:szCs w:val="24"/>
          <w:u w:val="single"/>
        </w:rPr>
        <w:t>Занятие 1.</w:t>
      </w:r>
    </w:p>
    <w:p>
      <w:pPr>
        <w:pStyle w:val="ListParagraph"/>
        <w:numPr>
          <w:ilvl w:val="0"/>
          <w:numId w:val="1"/>
        </w:numPr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Понятие «первая помощь»</w:t>
      </w:r>
    </w:p>
    <w:p>
      <w:pPr>
        <w:pStyle w:val="ListParagraph"/>
        <w:numPr>
          <w:ilvl w:val="0"/>
          <w:numId w:val="1"/>
        </w:numPr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Перечень состояний, при которых оказывается первая помощь, перечень мероприятий по ее оказанию.</w:t>
      </w:r>
    </w:p>
    <w:p>
      <w:pPr>
        <w:pStyle w:val="ListParagraph"/>
        <w:numPr>
          <w:ilvl w:val="0"/>
          <w:numId w:val="1"/>
        </w:numPr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</w:t>
      </w:r>
    </w:p>
    <w:p>
      <w:pPr>
        <w:pStyle w:val="ListParagraph"/>
        <w:numPr>
          <w:ilvl w:val="0"/>
          <w:numId w:val="1"/>
        </w:numPr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Основные правила вызова скорой медицинской помощи, других специальных служб, сотрудники которых обязаны оказывать первую помощь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ind w:left="227" w:hanging="0"/>
        <w:rPr>
          <w:b/>
          <w:b/>
          <w:bCs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  <w:lang w:val="ru-RU" w:eastAsia="ru-RU"/>
        </w:rPr>
        <w:t>Занятие 2.</w:t>
      </w:r>
    </w:p>
    <w:p>
      <w:pPr>
        <w:pStyle w:val="ListParagraph"/>
        <w:numPr>
          <w:ilvl w:val="0"/>
          <w:numId w:val="0"/>
        </w:numPr>
        <w:ind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1. Общая последовательность действий на месте происшествия с наличием пострадавших</w:t>
      </w:r>
    </w:p>
    <w:p>
      <w:pPr>
        <w:pStyle w:val="ListParagraph"/>
        <w:numPr>
          <w:ilvl w:val="0"/>
          <w:numId w:val="0"/>
        </w:numPr>
        <w:ind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2. Соблюдение правил личной безопасности и обеспечение безопасных условий для оказания первой помощи (возможные факторы риска, их устранение). Знаки аварийной остановки. Средства индивидуальной защиты.</w:t>
      </w:r>
    </w:p>
    <w:p>
      <w:pPr>
        <w:pStyle w:val="ListParagraph"/>
        <w:numPr>
          <w:ilvl w:val="0"/>
          <w:numId w:val="0"/>
        </w:numPr>
        <w:ind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3</w:t>
      </w:r>
      <w:r>
        <w:rPr>
          <w:rFonts w:ascii="PT Astra Serif" w:hAnsi="PT Astra Serif"/>
          <w:bCs/>
          <w:sz w:val="24"/>
          <w:szCs w:val="24"/>
          <w:lang w:val="ru-RU" w:eastAsia="ru-RU"/>
        </w:rPr>
        <w:t>. Способы извлечения и перемещения пострадавшего (приём Раутека, транспортировка пострадавших различными способами)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ind w:left="227" w:hanging="0"/>
        <w:rPr>
          <w:b/>
          <w:b/>
          <w:bCs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  <w:lang w:val="ru-RU" w:eastAsia="ru-RU"/>
        </w:rPr>
        <w:t>Занятие 3.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 xml:space="preserve">1. Оценка проходимости дыхательных путей. 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2.  Методы освобождения проходимости дыхательных путей. Тройной приём Сафара. Приём Геймлиха. Приём 5*5 . Приём «складного ножа».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3. Методы поддержания проходимости дыхательных путей. Установка надгортанных воздуховодов.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4. Методы лечения гипоксии: кислородотерапия через носовые канюли, лицевую маску. Мешок Амбу.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5. Техника проведения искусственного дыхания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ind w:left="227" w:hanging="0"/>
        <w:rPr>
          <w:b/>
          <w:b/>
          <w:bCs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  <w:lang w:val="ru-RU" w:eastAsia="ru-RU"/>
        </w:rPr>
        <w:t>Занятие 4.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1. Современный алгоритм проведения сердечно-легочной реанимации (СЛР).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2. Техника проведения компрессий грудной клетки у взрослого, детей, новорожденного.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3.  Аппарат «Лукас» для автоматического выполнения компрессий.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4. Выполнение механической дефибрилляции с помощью АНД.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  <w:lang w:val="ru-RU" w:eastAsia="ru-RU"/>
        </w:rPr>
      </w:pPr>
      <w:r>
        <w:rPr>
          <w:rFonts w:ascii="PT Astra Serif" w:hAnsi="PT Astra Serif"/>
          <w:sz w:val="24"/>
          <w:szCs w:val="24"/>
          <w:lang w:val="ru-RU" w:eastAsia="ru-RU"/>
        </w:rPr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  <w:lang w:val="ru-RU" w:eastAsia="ru-RU"/>
        </w:rPr>
      </w:pPr>
      <w:r>
        <w:rPr>
          <w:rFonts w:ascii="PT Astra Serif" w:hAnsi="PT Astra Serif"/>
          <w:sz w:val="24"/>
          <w:szCs w:val="24"/>
          <w:lang w:val="ru-RU" w:eastAsia="ru-RU"/>
        </w:rPr>
      </w:r>
    </w:p>
    <w:p>
      <w:pPr>
        <w:pStyle w:val="ListParagraph"/>
        <w:ind w:left="227" w:hanging="0"/>
        <w:rPr>
          <w:b/>
          <w:b/>
          <w:bCs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  <w:lang w:val="ru-RU" w:eastAsia="ru-RU"/>
        </w:rPr>
        <w:t xml:space="preserve">Занятие 5. 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1. Способы проверки сознания у пострадавшего.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2. Алгоритм оказания помощи при обмороке.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3. Алгоритм оказания помощи при судорожном синдроме. Эпистатус.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  <w:lang w:val="ru-RU" w:eastAsia="ru-RU"/>
        </w:rPr>
      </w:pPr>
      <w:r>
        <w:rPr>
          <w:rFonts w:ascii="PT Astra Serif" w:hAnsi="PT Astra Serif"/>
          <w:sz w:val="24"/>
          <w:szCs w:val="24"/>
          <w:lang w:val="ru-RU" w:eastAsia="ru-RU"/>
        </w:rPr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  <w:lang w:val="ru-RU" w:eastAsia="ru-RU"/>
        </w:rPr>
      </w:pPr>
      <w:r>
        <w:rPr>
          <w:rFonts w:ascii="PT Astra Serif" w:hAnsi="PT Astra Serif"/>
          <w:sz w:val="24"/>
          <w:szCs w:val="24"/>
          <w:lang w:val="ru-RU" w:eastAsia="ru-RU"/>
        </w:rPr>
      </w:r>
    </w:p>
    <w:p>
      <w:pPr>
        <w:pStyle w:val="ListParagraph"/>
        <w:ind w:left="227" w:hanging="0"/>
        <w:rPr>
          <w:b/>
          <w:b/>
          <w:bCs/>
          <w:u w:val="single"/>
        </w:rPr>
      </w:pPr>
      <w:r>
        <w:rPr>
          <w:rFonts w:ascii="PT Astra Serif" w:hAnsi="PT Astra Serif"/>
          <w:b/>
          <w:bCs/>
          <w:sz w:val="24"/>
          <w:szCs w:val="24"/>
          <w:u w:val="single"/>
          <w:lang w:val="ru-RU" w:eastAsia="ru-RU"/>
        </w:rPr>
        <w:t>Занятие 6.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>1. Воздействие высоких и низких температур. Термометрия.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lang w:val="ru-RU" w:eastAsia="ru-RU"/>
        </w:rPr>
        <w:t xml:space="preserve">2. Перегревание, факторы, способствующие его развитию. Основные </w:t>
      </w: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методы защиты от перегревания. Алгоритм оказания помощи при тепловом ударе, гипертермическом синдроме. Физические методы охлаждения.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3. Переохлаждение, факторы, способствующие его развитию. Основные методы защиты от переохлаждения. Алгоритм согревания пострадавшего: термоодеяло, использование грелки. Согревание растворов для в/в инфузии.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4. Электтротравма. Способы перемещения пострадавшего в зоне высокого напряжения. Алгоритм оказания помощи при электтротравме.</w:t>
      </w:r>
    </w:p>
    <w:p>
      <w:pPr>
        <w:pStyle w:val="ListParagraph"/>
        <w:ind w:left="227" w:hanging="0"/>
        <w:rPr>
          <w:rFonts w:ascii="PT Astra Serif" w:hAnsi="PT Astra Serif" w:eastAsia="宋体" w:cs="" w:cstheme="minorBidi" w:eastAsiaTheme="minorEastAsia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宋体" w:cs="" w:cstheme="minorBidi" w:eastAsiaTheme="minorEastAsia" w:ascii="PT Astra Serif" w:hAnsi="PT Astra Serif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ListParagraph"/>
        <w:ind w:left="227" w:hanging="0"/>
        <w:rPr>
          <w:rFonts w:ascii="PT Astra Serif" w:hAnsi="PT Astra Serif" w:eastAsia="宋体" w:cs="" w:cstheme="minorBidi" w:eastAsiaTheme="minorEastAsia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宋体" w:cs="" w:cstheme="minorBidi" w:eastAsiaTheme="minorEastAsia" w:ascii="PT Astra Serif" w:hAnsi="PT Astra Serif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ListParagraph"/>
        <w:ind w:left="227" w:hanging="0"/>
        <w:rPr>
          <w:b/>
          <w:b/>
          <w:bCs/>
          <w:u w:val="single"/>
        </w:rPr>
      </w:pPr>
      <w:r>
        <w:rPr>
          <w:rFonts w:eastAsia="宋体" w:cs="" w:ascii="PT Astra Serif" w:hAnsi="PT Astra Serif" w:cstheme="minorBidi" w:eastAsiaTheme="minorEastAsia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Занятие 7.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1. Отравления, пути попадания ядов в организм.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2. Алгоритм оказания помощи при попадании отравляющих веществ в организм через дыхательные пути, пищеварительный тракт, через кожу.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3. Методы усиления естественных процессов очищения организма. Промывание желудка. Проведения очистительных клизм.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4. Алгоритм оказания помощи при укусе ядовитых змей и насекомых.</w:t>
      </w:r>
    </w:p>
    <w:p>
      <w:pPr>
        <w:pStyle w:val="ListParagraph"/>
        <w:ind w:left="227" w:hanging="0"/>
        <w:rPr>
          <w:rFonts w:ascii="PT Astra Serif" w:hAnsi="PT Astra Serif" w:eastAsia="宋体" w:cs="" w:cstheme="minorBidi" w:eastAsiaTheme="minorEastAsia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宋体" w:cs="" w:cstheme="minorBidi" w:eastAsiaTheme="minorEastAsia" w:ascii="PT Astra Serif" w:hAnsi="PT Astra Serif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ListParagraph"/>
        <w:ind w:left="227" w:hanging="0"/>
        <w:rPr>
          <w:rFonts w:ascii="PT Astra Serif" w:hAnsi="PT Astra Serif" w:eastAsia="宋体" w:cs="" w:cstheme="minorBidi" w:eastAsiaTheme="minorEastAsia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宋体" w:cs="" w:cstheme="minorBidi" w:eastAsiaTheme="minorEastAsia" w:ascii="PT Astra Serif" w:hAnsi="PT Astra Serif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ListParagraph"/>
        <w:ind w:left="227" w:hanging="0"/>
        <w:rPr>
          <w:rFonts w:ascii="PT Astra Serif" w:hAnsi="PT Astra Serif" w:eastAsia="宋体" w:cs="" w:cstheme="minorBidi" w:eastAsiaTheme="minorEastAsia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宋体" w:cs="" w:cstheme="minorBidi" w:eastAsiaTheme="minorEastAsia" w:ascii="PT Astra Serif" w:hAnsi="PT Astra Serif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ListParagraph"/>
        <w:ind w:left="227" w:hanging="0"/>
        <w:rPr>
          <w:b/>
          <w:b/>
          <w:bCs/>
          <w:u w:val="single"/>
        </w:rPr>
      </w:pPr>
      <w:r>
        <w:rPr>
          <w:rFonts w:eastAsia="宋体" w:cs="" w:ascii="PT Astra Serif" w:hAnsi="PT Astra Serif" w:cstheme="minorBidi" w:eastAsiaTheme="minorEastAsia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Занятие 8.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1. Проведение итогового тестирования.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2. Сдача практических навыков.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eastAsia="宋体" w:cs="" w:ascii="PT Astra Serif" w:hAnsi="PT Astra Serif" w:cstheme="minorBidi" w:eastAsiaTheme="minorEastAsia"/>
          <w:bCs/>
          <w:color w:val="auto"/>
          <w:kern w:val="0"/>
          <w:sz w:val="24"/>
          <w:szCs w:val="24"/>
          <w:lang w:val="ru-RU" w:eastAsia="ru-RU" w:bidi="ar-SA"/>
        </w:rPr>
        <w:t>3. Ситуационные задачи.</w:t>
      </w:r>
    </w:p>
    <w:p>
      <w:pPr>
        <w:pStyle w:val="ListParagraph"/>
        <w:ind w:left="227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1656" w:hanging="0"/>
        <w:rPr>
          <w:rFonts w:ascii="PT Astra Serif" w:hAnsi="PT Astra Serif"/>
          <w:sz w:val="24"/>
          <w:szCs w:val="24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2</Pages>
  <Words>346</Words>
  <Characters>2506</Characters>
  <CharactersWithSpaces>2813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2022-08-31T10:09:00Z</dcterms:created>
  <dc:creator>aa.muravyova</dc:creator>
  <dc:description/>
  <dc:language>ru-RU</dc:language>
  <cp:lastModifiedBy/>
  <dcterms:modified xsi:type="dcterms:W3CDTF">2023-09-01T14:00:13Z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1049-11.1.0.11664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