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suppressAutoHyphens w:val="true"/>
        <w:bidi w:val="0"/>
        <w:ind w:left="0" w:right="0" w:hanging="0"/>
        <w:jc w:val="center"/>
        <w:rPr/>
      </w:pPr>
      <w:r>
        <w:rPr>
          <w:b/>
          <w:sz w:val="32"/>
          <w:szCs w:val="32"/>
        </w:rPr>
        <w:t>Учебно-производственный план подготовки специалистов здравоохранения по программам дополнительного профессионального образования на 2022-</w:t>
      </w:r>
      <w:r>
        <w:rPr>
          <w:b/>
          <w:sz w:val="32"/>
          <w:szCs w:val="32"/>
        </w:rPr>
        <w:t>2023</w:t>
      </w:r>
      <w:r>
        <w:rPr>
          <w:b/>
          <w:sz w:val="32"/>
          <w:szCs w:val="32"/>
        </w:rPr>
        <w:t xml:space="preserve"> год</w:t>
      </w:r>
    </w:p>
    <w:p>
      <w:pPr>
        <w:pStyle w:val="Normal"/>
        <w:suppressAutoHyphens w:val="true"/>
        <w:ind w:left="0" w:right="0" w:hanging="0"/>
        <w:jc w:val="center"/>
        <w:rPr>
          <w:b/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</w:r>
    </w:p>
    <w:p>
      <w:pPr>
        <w:pStyle w:val="Normal"/>
        <w:suppressAutoHyphens w:val="true"/>
        <w:ind w:left="0" w:right="0" w:hanging="0"/>
        <w:jc w:val="center"/>
        <w:rPr/>
      </w:pPr>
      <w:r>
        <w:rPr>
          <w:b/>
          <w:sz w:val="28"/>
          <w:szCs w:val="28"/>
          <w:u w:val="single"/>
        </w:rPr>
        <w:t>Федеральное государственное бюджетное образовательное учреждение высшего образования Ставропольский государственный медицинский университет Министерства здравоохранения Российской Федерации</w:t>
      </w:r>
    </w:p>
    <w:p>
      <w:pPr>
        <w:pStyle w:val="Normal"/>
        <w:suppressAutoHyphens w:val="true"/>
        <w:ind w:left="0" w:right="0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uppressAutoHyphens w:val="true"/>
        <w:ind w:left="0" w:right="0" w:hanging="0"/>
        <w:jc w:val="center"/>
        <w:rPr/>
      </w:pPr>
      <w:r>
        <w:rPr>
          <w:b/>
          <w:sz w:val="28"/>
          <w:szCs w:val="28"/>
        </w:rPr>
        <w:t>Основные показатели подготовки специалистов по программам дополнительного профессионального образования</w:t>
      </w:r>
    </w:p>
    <w:p>
      <w:pPr>
        <w:pStyle w:val="Normal"/>
        <w:ind w:left="0" w:right="0" w:hanging="0"/>
        <w:jc w:val="center"/>
        <w:rPr>
          <w:sz w:val="20"/>
        </w:rPr>
      </w:pPr>
      <w:r>
        <w:rPr>
          <w:sz w:val="20"/>
        </w:rPr>
      </w:r>
    </w:p>
    <w:tbl>
      <w:tblPr>
        <w:tblW w:w="14992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497"/>
        <w:gridCol w:w="2339"/>
        <w:gridCol w:w="2338"/>
      </w:tblGrid>
      <w:tr>
        <w:trPr>
          <w:trHeight w:val="465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420"/>
              </w:tabs>
              <w:suppressAutoHyphens w:val="true"/>
              <w:ind w:left="0" w:right="0" w:hanging="0"/>
              <w:jc w:val="center"/>
              <w:rPr/>
            </w:pPr>
            <w:r>
              <w:rPr>
                <w:color w:val="auto"/>
                <w:sz w:val="24"/>
                <w:szCs w:val="24"/>
              </w:rPr>
              <w:t>№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420"/>
              </w:tabs>
              <w:suppressAutoHyphens w:val="true"/>
              <w:ind w:left="0" w:right="0" w:hanging="0"/>
              <w:jc w:val="center"/>
              <w:rPr/>
            </w:pPr>
            <w:r>
              <w:rPr>
                <w:color w:val="auto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</w:tabs>
              <w:suppressAutoHyphens w:val="true"/>
              <w:ind w:left="0" w:right="0" w:hanging="0"/>
              <w:jc w:val="center"/>
              <w:rPr/>
            </w:pPr>
            <w:r>
              <w:rPr>
                <w:rFonts w:eastAsia="Times New Roman"/>
                <w:color w:val="000000"/>
                <w:sz w:val="24"/>
                <w:szCs w:val="24"/>
              </w:rPr>
              <w:t>В рамках гос. задания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</w:tabs>
              <w:suppressAutoHyphens w:val="true"/>
              <w:ind w:left="0" w:right="0" w:hanging="0"/>
              <w:jc w:val="center"/>
              <w:rPr/>
            </w:pPr>
            <w:r>
              <w:rPr>
                <w:rFonts w:eastAsia="Times New Roman"/>
                <w:color w:val="000000"/>
                <w:sz w:val="24"/>
                <w:szCs w:val="24"/>
              </w:rPr>
              <w:t>По платным услугам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tabs>
                <w:tab w:val="clear" w:pos="420"/>
              </w:tabs>
              <w:suppressAutoHyphens w:val="true"/>
              <w:ind w:left="0" w:right="0" w:hanging="36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tabs>
                <w:tab w:val="clear" w:pos="420"/>
              </w:tabs>
              <w:suppressAutoHyphens w:val="true"/>
              <w:ind w:left="0" w:right="0" w:hanging="0"/>
              <w:rPr/>
            </w:pPr>
            <w:r>
              <w:rPr>
                <w:color w:val="auto"/>
                <w:sz w:val="24"/>
                <w:szCs w:val="24"/>
              </w:rPr>
              <w:t>План приема слушателей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tabs>
                <w:tab w:val="clear" w:pos="420"/>
              </w:tabs>
              <w:suppressAutoHyphens w:val="true"/>
              <w:ind w:left="0" w:right="0" w:hanging="0"/>
              <w:rPr/>
            </w:pPr>
            <w:r>
              <w:rPr>
                <w:color w:val="auto"/>
                <w:sz w:val="24"/>
                <w:szCs w:val="24"/>
              </w:rPr>
              <w:t>3707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tabs>
                <w:tab w:val="clear" w:pos="420"/>
              </w:tabs>
              <w:suppressAutoHyphens w:val="true"/>
              <w:ind w:left="0" w:right="0" w:hanging="0"/>
              <w:rPr/>
            </w:pPr>
            <w:r>
              <w:rPr>
                <w:color w:val="auto"/>
                <w:sz w:val="24"/>
                <w:szCs w:val="24"/>
              </w:rPr>
              <w:t>2335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uppressAutoHyphens w:val="true"/>
              <w:ind w:left="0" w:right="0" w:hanging="36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ind w:left="0" w:right="0" w:hanging="0"/>
              <w:rPr/>
            </w:pPr>
            <w:r>
              <w:rPr>
                <w:color w:val="auto"/>
                <w:sz w:val="24"/>
                <w:szCs w:val="24"/>
              </w:rPr>
              <w:t>Штатная численность профессорско-преподавательского состава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ind w:left="0" w:right="0" w:hanging="0"/>
              <w:rPr/>
            </w:pPr>
            <w:r>
              <w:rPr>
                <w:color w:val="auto"/>
                <w:sz w:val="24"/>
                <w:szCs w:val="24"/>
              </w:rPr>
              <w:t>49,75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ind w:left="0" w:right="0" w:hanging="0"/>
              <w:rPr/>
            </w:pPr>
            <w:r>
              <w:rPr>
                <w:color w:val="auto"/>
                <w:sz w:val="24"/>
                <w:szCs w:val="24"/>
              </w:rPr>
              <w:t>33,5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uppressAutoHyphens w:val="true"/>
              <w:ind w:left="0" w:right="0" w:hanging="36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ind w:left="0" w:right="0" w:hanging="0"/>
              <w:rPr/>
            </w:pPr>
            <w:r>
              <w:rPr>
                <w:color w:val="auto"/>
                <w:sz w:val="24"/>
                <w:szCs w:val="24"/>
              </w:rPr>
              <w:t>Число курсанто-месяцев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ind w:left="0" w:right="0" w:hanging="0"/>
              <w:rPr/>
            </w:pPr>
            <w:r>
              <w:rPr>
                <w:color w:val="auto"/>
                <w:sz w:val="24"/>
                <w:szCs w:val="24"/>
              </w:rPr>
              <w:t>2139,5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ind w:left="0" w:right="0" w:hanging="0"/>
              <w:rPr/>
            </w:pPr>
            <w:r>
              <w:rPr>
                <w:color w:val="auto"/>
                <w:sz w:val="24"/>
                <w:szCs w:val="24"/>
              </w:rPr>
              <w:t>1677,1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uppressAutoHyphens w:val="true"/>
              <w:ind w:left="0" w:right="0" w:hanging="36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ind w:left="0" w:right="0" w:hanging="0"/>
              <w:rPr/>
            </w:pPr>
            <w:r>
              <w:rPr>
                <w:color w:val="auto"/>
                <w:sz w:val="24"/>
                <w:szCs w:val="24"/>
              </w:rPr>
              <w:t>Число человеко-часов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ind w:left="0" w:right="0" w:hanging="0"/>
              <w:rPr/>
            </w:pPr>
            <w:r>
              <w:rPr>
                <w:color w:val="auto"/>
                <w:sz w:val="24"/>
                <w:szCs w:val="24"/>
              </w:rPr>
              <w:t>308088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ind w:left="0" w:right="0" w:hanging="0"/>
              <w:rPr/>
            </w:pPr>
            <w:r>
              <w:rPr>
                <w:color w:val="auto"/>
                <w:sz w:val="24"/>
                <w:szCs w:val="24"/>
              </w:rPr>
              <w:t>241505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uppressAutoHyphens w:val="true"/>
              <w:ind w:left="0" w:right="0" w:hanging="36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ind w:left="0" w:right="0" w:hanging="0"/>
              <w:rPr/>
            </w:pPr>
            <w:r>
              <w:rPr>
                <w:color w:val="auto"/>
                <w:sz w:val="24"/>
                <w:szCs w:val="24"/>
              </w:rPr>
              <w:t>Среднегодовая численность слушателей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ind w:left="0" w:right="0" w:hanging="0"/>
              <w:rPr/>
            </w:pPr>
            <w:r>
              <w:rPr>
                <w:color w:val="auto"/>
                <w:sz w:val="24"/>
                <w:szCs w:val="24"/>
              </w:rPr>
              <w:t>214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ind w:left="0" w:right="0" w:hanging="0"/>
              <w:rPr/>
            </w:pPr>
            <w:r>
              <w:rPr>
                <w:color w:val="auto"/>
                <w:sz w:val="24"/>
                <w:szCs w:val="24"/>
              </w:rPr>
              <w:t>167,7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uppressAutoHyphens w:val="true"/>
              <w:ind w:left="0" w:right="0" w:hanging="36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ind w:left="0" w:right="0" w:hanging="0"/>
              <w:rPr/>
            </w:pPr>
            <w:r>
              <w:rPr>
                <w:color w:val="auto"/>
                <w:sz w:val="24"/>
                <w:szCs w:val="24"/>
              </w:rPr>
              <w:t>Средняя продолжительность циклов дополнительного профессионального образования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ind w:left="0" w:right="0" w:hanging="0"/>
              <w:rPr/>
            </w:pPr>
            <w:r>
              <w:rPr>
                <w:color w:val="auto"/>
                <w:sz w:val="24"/>
                <w:szCs w:val="24"/>
              </w:rPr>
              <w:t>83,1 часа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ind w:left="0" w:right="0" w:hanging="0"/>
              <w:rPr/>
            </w:pPr>
            <w:r>
              <w:rPr>
                <w:color w:val="auto"/>
                <w:sz w:val="24"/>
                <w:szCs w:val="24"/>
              </w:rPr>
              <w:t>103,4 часа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uppressAutoHyphens w:val="true"/>
              <w:ind w:left="0" w:right="0" w:hanging="36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ind w:left="0" w:right="0" w:hanging="0"/>
              <w:rPr/>
            </w:pPr>
            <w:r>
              <w:rPr>
                <w:color w:val="auto"/>
                <w:sz w:val="24"/>
                <w:szCs w:val="24"/>
              </w:rPr>
              <w:t>Средняя продолжительность циклов ПК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ind w:left="0" w:right="0" w:hanging="0"/>
              <w:rPr/>
            </w:pPr>
            <w:r>
              <w:rPr>
                <w:color w:val="auto"/>
                <w:sz w:val="24"/>
                <w:szCs w:val="24"/>
              </w:rPr>
              <w:t>76,2 часа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ind w:left="0" w:right="0" w:hanging="0"/>
              <w:rPr/>
            </w:pPr>
            <w:r>
              <w:rPr>
                <w:color w:val="auto"/>
                <w:sz w:val="24"/>
                <w:szCs w:val="24"/>
              </w:rPr>
              <w:t>65,2 часа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uppressAutoHyphens w:val="true"/>
              <w:ind w:left="0" w:right="0" w:hanging="36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ind w:left="0" w:right="0" w:hanging="0"/>
              <w:rPr/>
            </w:pPr>
            <w:r>
              <w:rPr>
                <w:color w:val="auto"/>
                <w:sz w:val="24"/>
                <w:szCs w:val="24"/>
              </w:rPr>
              <w:t>Средняя продолжительность циклов ПП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ind w:left="0" w:right="0" w:hanging="0"/>
              <w:rPr/>
            </w:pPr>
            <w:r>
              <w:rPr>
                <w:color w:val="auto"/>
                <w:sz w:val="24"/>
                <w:szCs w:val="24"/>
              </w:rPr>
              <w:t>579,5 часа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ind w:left="0" w:right="0" w:hanging="0"/>
              <w:rPr/>
            </w:pPr>
            <w:r>
              <w:rPr>
                <w:color w:val="auto"/>
                <w:sz w:val="24"/>
                <w:szCs w:val="24"/>
              </w:rPr>
              <w:t>558,5 часа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uppressAutoHyphens w:val="true"/>
              <w:ind w:left="0" w:right="0" w:hanging="36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ind w:left="0" w:right="0" w:hanging="0"/>
              <w:rPr/>
            </w:pPr>
            <w:r>
              <w:rPr>
                <w:color w:val="auto"/>
                <w:sz w:val="24"/>
                <w:szCs w:val="24"/>
              </w:rPr>
              <w:t>Доля циклов профессиональной переподготовки в общем плане дополнительного профессионального образования на год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ind w:left="0" w:right="0" w:hanging="0"/>
              <w:rPr/>
            </w:pPr>
            <w:r>
              <w:rPr>
                <w:color w:val="auto"/>
                <w:sz w:val="24"/>
                <w:szCs w:val="24"/>
              </w:rPr>
              <w:t>9,6%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ind w:left="0" w:right="0" w:hanging="0"/>
              <w:rPr/>
            </w:pPr>
            <w:r>
              <w:rPr>
                <w:color w:val="auto"/>
                <w:sz w:val="24"/>
                <w:szCs w:val="24"/>
              </w:rPr>
              <w:t>41,9%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uppressAutoHyphens w:val="true"/>
              <w:ind w:left="0" w:right="0" w:hanging="36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ind w:left="0" w:right="0" w:hanging="0"/>
              <w:rPr/>
            </w:pPr>
            <w:r>
              <w:rPr>
                <w:color w:val="auto"/>
                <w:sz w:val="24"/>
                <w:szCs w:val="24"/>
              </w:rPr>
              <w:t>Доля циклов повышения квалификации в общем плане дополнительного профессионального образования на год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ind w:left="0" w:right="0" w:hanging="0"/>
              <w:rPr/>
            </w:pPr>
            <w:r>
              <w:rPr>
                <w:color w:val="auto"/>
                <w:sz w:val="24"/>
                <w:szCs w:val="24"/>
              </w:rPr>
              <w:t>90,4%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ind w:left="0" w:right="0" w:hanging="0"/>
              <w:rPr/>
            </w:pPr>
            <w:r>
              <w:rPr>
                <w:color w:val="auto"/>
                <w:sz w:val="24"/>
                <w:szCs w:val="24"/>
              </w:rPr>
              <w:t>58,1%</w:t>
            </w:r>
          </w:p>
        </w:tc>
      </w:tr>
    </w:tbl>
    <w:p>
      <w:pPr>
        <w:pStyle w:val="Normal"/>
        <w:ind w:left="0" w:right="0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orient="landscape" w:w="16838" w:h="11906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4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Noto Sans Devanagari"/>
        <w:kern w:val="2"/>
        <w:sz w:val="20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Noto Sans Devanagari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Noto Sans Devanagari"/>
    </w:rPr>
  </w:style>
  <w:style w:type="paragraph" w:styleId="ListParagraph">
    <w:name w:val="List Paragraph"/>
    <w:basedOn w:val="Normal"/>
    <w:qFormat/>
    <w:pPr>
      <w:ind w:left="720" w:hanging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53</TotalTime>
  <Application>LibreOffice/6.4.7.2$Linux_X86_64 LibreOffice_project/40$Build-2</Application>
  <Pages>1</Pages>
  <Words>135</Words>
  <Characters>1077</Characters>
  <CharactersWithSpaces>1165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2023-04-13T15:30:57Z</dcterms:modified>
  <cp:revision>2</cp:revision>
  <dc:subject/>
  <dc:title/>
</cp:coreProperties>
</file>