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План занятий по дисциплинам.</w:t>
      </w:r>
    </w:p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1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Анестезиология, реаниматология и интенсивная терапия.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9"/>
        <w:gridCol w:w="8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8003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Темы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 xml:space="preserve">1. </w:t>
            </w:r>
          </w:p>
        </w:tc>
        <w:tc>
          <w:tcPr>
            <w:tcW w:w="8003" w:type="dxa"/>
            <w:vAlign w:val="top"/>
          </w:tcPr>
          <w:p>
            <w:pPr>
              <w:widowControl/>
              <w:autoSpaceDE/>
              <w:autoSpaceDN/>
              <w:adjustRightInd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Предоперационная подготовка и ведение раннего послеоперационного периода. Виды общей анестезии.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2.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 xml:space="preserve"> Острая дыхательная недостаточность.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Острая сердечно-сосудистая недостаточность.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MS Mincho" w:cs="PT Astra Serif"/>
                <w:sz w:val="28"/>
                <w:szCs w:val="28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8"/>
                <w:szCs w:val="28"/>
              </w:rPr>
              <w:t>Комплексные методы реанимации и интенсивной терапии при клинической смерти.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5.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Гиповолемический и сосудистый виды шока.</w:t>
            </w: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6.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Метаболические и мозговые комы.</w:t>
            </w: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7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Острая почечная и печеночная недостаточность.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8.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Неотложная помощь при развитии несчастных случаев.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9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9.</w:t>
            </w:r>
          </w:p>
        </w:tc>
        <w:tc>
          <w:tcPr>
            <w:tcW w:w="8003" w:type="dxa"/>
            <w:vAlign w:val="top"/>
          </w:tcPr>
          <w:p>
            <w:pPr>
              <w:rPr>
                <w:rFonts w:hint="default" w:ascii="PT Astra Serif" w:hAnsi="PT Astra Serif" w:cs="PT Astra Serif"/>
                <w:sz w:val="28"/>
                <w:szCs w:val="28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</w:rPr>
              <w:t>Общие принципы интенсивной терапии и реанимации при острых отравлениях.</w:t>
            </w:r>
          </w:p>
          <w:p>
            <w:pPr>
              <w:pStyle w:val="4"/>
              <w:tabs>
                <w:tab w:val="left" w:pos="708"/>
              </w:tabs>
              <w:ind w:left="180" w:firstLine="360"/>
              <w:rPr>
                <w:rFonts w:hint="default" w:ascii="PT Astra Serif" w:hAnsi="PT Astra Serif" w:cs="PT Astra Serif"/>
                <w:b/>
                <w:bCs/>
                <w:sz w:val="28"/>
                <w:szCs w:val="28"/>
              </w:rPr>
            </w:pPr>
          </w:p>
          <w:p>
            <w:p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Первая помощь.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9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1.</w:t>
            </w:r>
          </w:p>
        </w:tc>
        <w:tc>
          <w:tcPr>
            <w:tcW w:w="7793" w:type="dxa"/>
          </w:tcPr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>Тема 1:</w:t>
            </w:r>
            <w:r>
              <w:rPr>
                <w:rFonts w:hint="default" w:ascii="PT Astra Serif" w:hAnsi="PT Astra Serif" w:eastAsia="PT Astra Serif" w:cs="PT Astra Serif"/>
                <w:b w:val="0"/>
                <w:bCs w:val="0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Понятие «первая помощь». Перечень состояний, при которых оказывается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первая помощь, перечень мероприятий по ее оказанию.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2.</w:t>
            </w:r>
          </w:p>
        </w:tc>
        <w:tc>
          <w:tcPr>
            <w:tcW w:w="7793" w:type="dxa"/>
          </w:tcPr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>Тема 2: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 xml:space="preserve"> Общая последовательность действий на месте происшествия с наличием пострадавших. Способы извлечения и перемещения пострадавшего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-RU"/>
              </w:rPr>
              <w:t xml:space="preserve">.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>Правила вызова БСМП.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3.</w:t>
            </w:r>
          </w:p>
        </w:tc>
        <w:tc>
          <w:tcPr>
            <w:tcW w:w="7793" w:type="dxa"/>
          </w:tcPr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 xml:space="preserve">Тема 3: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Оказание первой помощи при остановке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дыхания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.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Способы проверки дыхания, пострадавшего.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сознании. Техника проведения искусственного дыхания.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4.</w:t>
            </w:r>
          </w:p>
        </w:tc>
        <w:tc>
          <w:tcPr>
            <w:tcW w:w="7793" w:type="dxa"/>
          </w:tcPr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 xml:space="preserve">Тема 4.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Оказание первой помощи при остановке кровообращения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.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Причины нарушения кровообращения и способы проверки кровообращения у пострадавшего.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Современный алгоритм проведения сердечно-легочной реанимации (СЛР)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5.</w:t>
            </w:r>
          </w:p>
        </w:tc>
        <w:tc>
          <w:tcPr>
            <w:tcW w:w="779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0" w:afterAutospacing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 xml:space="preserve">Тема 5.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Оказание первой помощи при отсутствии сознания.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Причины нарушения сознания и способы оценки уровня сознания у пострадавшего.</w:t>
            </w:r>
          </w:p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6.</w:t>
            </w:r>
          </w:p>
        </w:tc>
        <w:tc>
          <w:tcPr>
            <w:tcW w:w="779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0" w:afterAutospacing="0" w:line="240" w:lineRule="auto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>Тема 6.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Оказание первой помощи при прочих состояниях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.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Перегревание. Факторы, способствующие его развитию. Основные проявления, оказание первой помощи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>. Переохлаждение.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7.</w:t>
            </w:r>
          </w:p>
        </w:tc>
        <w:tc>
          <w:tcPr>
            <w:tcW w:w="779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0" w:afterAutospacing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val="ru"/>
              </w:rPr>
              <w:t>Тема 7.</w:t>
            </w:r>
            <w:r>
              <w:rPr>
                <w:rFonts w:hint="default" w:ascii="PT Astra Serif" w:hAnsi="PT Astra Serif" w:eastAsia="PT Astra Serif" w:cs="PT Astra Serif"/>
                <w:sz w:val="24"/>
                <w:szCs w:val="24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Отравления, пути попадания ядов в организм.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>Признаки острого отравления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>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en-US"/>
              </w:rPr>
              <w:t xml:space="preserve"> Оказание первой помощи при попадании отравляющих веществ в организм через дыхательные пути, пищеварительный тракт, через кожу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>. Укусы ядовитых змей и насекомых. Оказание первой помощи.</w:t>
            </w:r>
          </w:p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</w:tcPr>
          <w:p>
            <w:pPr>
              <w:numPr>
                <w:numId w:val="0"/>
              </w:numP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  <w:t>8.</w:t>
            </w:r>
          </w:p>
        </w:tc>
        <w:tc>
          <w:tcPr>
            <w:tcW w:w="779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0" w:afterAutospacing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lang w:val="ru"/>
              </w:rPr>
              <w:t>Контрольное тестирование.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>Ситуационные задачи.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PT Astra Serif" w:hAnsi="PT Astra Serif" w:eastAsia="PT Astra Serif" w:cs="PT Astra Serif"/>
                <w:sz w:val="28"/>
                <w:szCs w:val="28"/>
                <w:lang w:val="ru"/>
              </w:rPr>
              <w:t>Сдача практических навыков.</w:t>
            </w:r>
          </w:p>
          <w:p>
            <w:pPr>
              <w:pStyle w:val="7"/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0" w:line="240" w:lineRule="auto"/>
              <w:ind w:left="0" w:leftChars="0" w:right="0" w:rightChars="0"/>
              <w:jc w:val="left"/>
              <w:rPr>
                <w:rFonts w:hint="default" w:ascii="PT Astra Serif" w:hAnsi="PT Astra Serif" w:cs="PT Astra Serif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S Mincho">
    <w:altName w:val="PT Mono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PT Mono">
    <w:panose1 w:val="02060509020205020204"/>
    <w:charset w:val="00"/>
    <w:family w:val="auto"/>
    <w:pitch w:val="default"/>
    <w:sig w:usb0="A00002EF" w:usb1="500078EB" w:usb2="00000020" w:usb3="00000000" w:csb0="20000097" w:csb1="4F020000"/>
  </w:font>
  <w:font w:name="serif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7E875"/>
    <w:multiLevelType w:val="singleLevel"/>
    <w:tmpl w:val="B7A7E8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EC6375"/>
    <w:rsid w:val="AEEC6375"/>
    <w:rsid w:val="FFCBF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paragraph" w:styleId="5">
    <w:name w:val="Normal (Web)"/>
    <w:uiPriority w:val="0"/>
    <w:pPr>
      <w:bidi w:val="0"/>
      <w:spacing w:before="0" w:beforeAutospacing="1" w:after="142" w:afterAutospacing="0" w:line="276" w:lineRule="auto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uiPriority w:val="0"/>
    <w:pPr>
      <w:jc w:val="left"/>
    </w:pPr>
    <w:rPr>
      <w:rFonts w:ascii="serif" w:hAnsi="serif" w:cs="serif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2023-04-05T15:16:00Z</dcterms:created>
  <dc:creator>aa.muravyova</dc:creator>
  <cp:lastModifiedBy>aa.muravyova</cp:lastModifiedBy>
  <dcterms:modified xsi:type="dcterms:W3CDTF">2023-04-05T15:28:33Z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